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</w:pPr>
      <w:r>
        <w:drawing>
          <wp:inline xmlns:a="http://schemas.openxmlformats.org/drawingml/2006/main" xmlns:pic="http://schemas.openxmlformats.org/drawingml/2006/picture">
            <wp:extent cx="1417320" cy="21775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wantflow-word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177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</w:pPr>
      <w:r>
        <w:t>CAD and Drawing Quote-Readiness Checklist</w:t>
      </w:r>
    </w:p>
    <w:p>
      <w:pPr>
        <w:pStyle w:val="Subtitle"/>
      </w:pPr>
      <w:r>
        <w:t>Review file evidence before geometry becomes a commercial assumption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2160"/>
        <w:gridCol w:w="7200"/>
      </w:tblGrid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Prepared for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Fabrication estimators and quoting teams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Updated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18 July 2026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Use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Replace examples with reviewed project and business information</w:t>
            </w:r>
          </w:p>
        </w:tc>
      </w:tr>
    </w:tbl>
    <w:p>
      <w:pPr>
        <w:spacing w:before="240" w:after="240"/>
      </w:pPr>
      <w:r>
        <w:rPr>
          <w:rFonts w:ascii="Arial" w:hAnsi="Arial"/>
          <w:b/>
          <w:color w:val="374151"/>
          <w:sz w:val="20"/>
        </w:rPr>
        <w:t xml:space="preserve">Review boundary: </w:t>
      </w:r>
      <w:r>
        <w:rPr>
          <w:rFonts w:ascii="Arial" w:hAnsi="Arial"/>
          <w:b w:val="0"/>
          <w:color w:val="18181B"/>
          <w:sz w:val="20"/>
        </w:rPr>
        <w:t>This resource supports quote preparation. It is not legal, engineering, tax, production, or contract advice.</w:t>
      </w:r>
    </w:p>
    <w:p>
      <w:pPr>
        <w:pStyle w:val="Heading1"/>
      </w:pPr>
      <w:r>
        <w:t>File control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Every file listed by name and type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Revision and issue date visible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Controlling source identified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Model and drawing conflicts recorded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Manufacturing information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Units and scale confirmed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Material and stock form stated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Critical dimensions and tolerances reviewed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Threads, welds, finish, and inspection identified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Commercial readiness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Quantity and delivery basis confirmed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Unsupported file information requested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Provisional bases approved and visible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Clarification owner and due date recorded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Worked example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Example conflict: STEP model filename indicates Rev B while the PDF title block indicates Rev C.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Action: hold affected pricing and request confirmation of the controlling source.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Do not infer control from the newest file timestamp alone.</w:t>
      </w:r>
    </w:p>
    <w:p>
      <w:pPr>
        <w:pStyle w:val="Heading1"/>
        <w:keepNext/>
      </w:pPr>
      <w:r>
        <w:t>Final approval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2160"/>
        <w:gridCol w:w="7200"/>
      </w:tblGrid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Reviewer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Decision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Approved / Conditional / Hold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Date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Required action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24" w:right="1224" w:bottom="1224" w:left="1224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b w:val="0"/>
        <w:color w:val="4B5563"/>
        <w:sz w:val="16"/>
      </w:rPr>
      <w:t>CAD and Drawing Quote-Readiness Checklist  |  kwantflow.com/resources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rial" w:hAnsi="Arial"/>
        <w:b/>
        <w:color w:val="18181B"/>
        <w:sz w:val="16"/>
      </w:rPr>
      <w:t>KWANTFLOW  /  PRACTICAL ESTIMATING RESOURCE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Arial" w:hAnsi="Arial"/>
      <w:color w:val="18181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8181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2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7415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8181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rial" w:hAnsi="Arial"/>
      <w:color w:val="18181B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360"/>
    </w:pPr>
    <w:rPr>
      <w:rFonts w:asciiTheme="majorHAnsi" w:eastAsiaTheme="majorEastAsia" w:hAnsiTheme="majorHAnsi" w:cstheme="majorBidi" w:ascii="Arial" w:hAnsi="Arial"/>
      <w:i/>
      <w:iCs/>
      <w:color w:val="4B5563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