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</w:pPr>
      <w:r>
        <w:drawing>
          <wp:inline xmlns:a="http://schemas.openxmlformats.org/drawingml/2006/main" xmlns:pic="http://schemas.openxmlformats.org/drawingml/2006/picture">
            <wp:extent cx="1417320" cy="2177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wantflow-word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177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</w:pPr>
      <w:r>
        <w:t>RFQ Email Template Pack</w:t>
      </w:r>
    </w:p>
    <w:p>
      <w:pPr>
        <w:pStyle w:val="Subtitle"/>
      </w:pPr>
      <w:r>
        <w:t>Six editable messages for fabrication and job-shop quoting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2160"/>
        <w:gridCol w:w="7200"/>
      </w:tblGrid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Prepared for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Fabrication estimators and quoting teams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Updated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18 July 2026</w:t>
            </w:r>
          </w:p>
        </w:tc>
      </w:tr>
      <w:tr>
        <w:tc>
          <w:tcPr>
            <w:tcW w:type="dxa" w:w="216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  <w:shd w:fill="F8FAFC"/>
          </w:tcPr>
          <w:p>
            <w:pPr>
              <w:spacing w:after="0"/>
            </w:pPr>
            <w:r>
              <w:rPr>
                <w:rFonts w:ascii="Arial" w:hAnsi="Arial"/>
                <w:b/>
                <w:color w:val="18181B"/>
                <w:sz w:val="18"/>
              </w:rPr>
              <w:t>Use</w:t>
            </w:r>
          </w:p>
        </w:tc>
        <w:tc>
          <w:tcPr>
            <w:tcW w:type="dxa" w:w="7200"/>
            <w:tcMar>
              <w:top w:w="60" w:type="dxa"/>
              <w:start w:w="120" w:type="dxa"/>
              <w:bottom w:w="6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Arial" w:hAnsi="Arial"/>
                <w:b w:val="0"/>
                <w:color w:val="18181B"/>
                <w:sz w:val="19"/>
              </w:rPr>
              <w:t>Replace examples with reviewed project and business information</w:t>
            </w:r>
          </w:p>
        </w:tc>
      </w:tr>
    </w:tbl>
    <w:p>
      <w:pPr>
        <w:spacing w:before="240" w:after="240"/>
      </w:pPr>
      <w:r>
        <w:rPr>
          <w:rFonts w:ascii="Arial" w:hAnsi="Arial"/>
          <w:b/>
          <w:color w:val="374151"/>
          <w:sz w:val="20"/>
        </w:rPr>
        <w:t xml:space="preserve">Review boundary: </w:t>
      </w:r>
      <w:r>
        <w:rPr>
          <w:rFonts w:ascii="Arial" w:hAnsi="Arial"/>
          <w:b w:val="0"/>
          <w:color w:val="18181B"/>
          <w:sz w:val="20"/>
        </w:rPr>
        <w:t>This resource supports quote preparation. It is not legal, engineering, tax, production, or contract advice.</w:t>
      </w:r>
    </w:p>
    <w:p>
      <w:pPr>
        <w:pStyle w:val="Heading1"/>
      </w:pPr>
      <w:r>
        <w:t>New supplier price request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Requested action and response date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RFQ, drawing, and specification references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Quantity, unit, delivery basis, and requested inclusions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Attachments and clarification contact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Customer RFQ acknowledgement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Receipt confirmation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Files and revisions received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Planned review date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Known missing information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Clarification request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One numbered question per scope gap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Affected drawing, item, or specification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Working impact if unresolved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Requested response date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Revised drawing acknowledgement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New revision received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Prior basis being superseded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Affected scope under review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Whether the quote date may change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Quote submission email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Quote number and revision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Base scope and options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Validity and lead-time basis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Named attachments and contact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Quote validity follow-up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type="dxa" w:w="120"/>
      </w:tblPr>
      <w:tblGrid>
        <w:gridCol w:w="792"/>
        <w:gridCol w:w="3168"/>
        <w:gridCol w:w="3672"/>
        <w:gridCol w:w="1728"/>
      </w:tblGrid>
      <w:tr>
        <w:tc>
          <w:tcPr>
            <w:tcW w:type="dxa" w:w="79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center"/>
            </w:pPr>
            <w:r>
              <w:rPr>
                <w:rFonts w:ascii="Arial" w:hAnsi="Arial"/>
                <w:b/>
                <w:color w:val="FFFFFF"/>
                <w:sz w:val="17"/>
              </w:rPr>
              <w:t>Done</w:t>
            </w:r>
          </w:p>
        </w:tc>
        <w:tc>
          <w:tcPr>
            <w:tcW w:type="dxa" w:w="316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Review point</w:t>
            </w:r>
          </w:p>
        </w:tc>
        <w:tc>
          <w:tcPr>
            <w:tcW w:type="dxa" w:w="3672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Evidence / response</w:t>
            </w:r>
          </w:p>
        </w:tc>
        <w:tc>
          <w:tcPr>
            <w:tcW w:type="dxa" w:w="1728"/>
            <w:tcMar>
              <w:top w:w="100" w:type="dxa"/>
              <w:start w:w="120" w:type="dxa"/>
              <w:bottom w:w="100" w:type="dxa"/>
              <w:end w:w="120" w:type="dxa"/>
            </w:tcMar>
            <w:shd w:fill="18181B"/>
          </w:tcPr>
          <w:p>
            <w:pPr>
              <w:jc w:val="left"/>
            </w:pPr>
            <w:r>
              <w:rPr>
                <w:rFonts w:ascii="Arial" w:hAnsi="Arial"/>
                <w:b/>
                <w:color w:val="FFFFFF"/>
                <w:sz w:val="17"/>
              </w:rPr>
              <w:t>Owner / status</w:t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Quote reference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Current validity status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Rate or scope items requiring refresh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  <w:tr>
        <w:tc>
          <w:tcPr>
            <w:tcW w:type="dxa" w:w="79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color w:val="18181B"/>
                <w:sz w:val="24"/>
              </w:rPr>
              <w:t>☐</w:t>
            </w:r>
          </w:p>
        </w:tc>
        <w:tc>
          <w:tcPr>
            <w:tcW w:type="dxa" w:w="316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  <w:t>Requested customer decision</w:t>
            </w:r>
          </w:p>
        </w:tc>
        <w:tc>
          <w:tcPr>
            <w:tcW w:type="dxa" w:w="3672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  <w:tc>
          <w:tcPr>
            <w:tcW w:type="dxa" w:w="1728"/>
            <w:tcMar>
              <w:top w:w="130" w:type="dxa"/>
              <w:start w:w="120" w:type="dxa"/>
              <w:bottom w:w="130" w:type="dxa"/>
              <w:end w:w="120" w:type="dxa"/>
            </w:tcMar>
            <w:vAlign w:val="center"/>
          </w:tcPr>
          <w:p>
            <w:r>
              <w:rPr>
                <w:rFonts w:ascii="Arial" w:hAnsi="Arial"/>
                <w:b w:val="0"/>
                <w:color w:val="18181B"/>
                <w:sz w:val="18"/>
              </w:rPr>
            </w:r>
          </w:p>
        </w:tc>
      </w:tr>
    </w:tbl>
    <w:p>
      <w:pPr>
        <w:pStyle w:val="Heading1"/>
      </w:pPr>
      <w:r>
        <w:t>Worked example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Subject: RFQ KF-EXAMPLE-014 - machined bracket package - response requested 31 July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Hello [Name],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Please provide pricing for the attached bracket package using drawing revision C and the quantities in the supplied schedule. Include material, machining, inspection, packaging, and delivery to [location].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Please identify exceptions, minimum quantities, price validity, and current lead time. Send questions against the drawing or schedule item they affect.</w:t>
      </w:r>
    </w:p>
    <w:p>
      <w:pPr>
        <w:pStyle w:val="ListBullet"/>
        <w:spacing w:after="80"/>
      </w:pPr>
      <w:r>
        <w:rPr>
          <w:rFonts w:ascii="Arial" w:hAnsi="Arial"/>
          <w:b w:val="0"/>
          <w:color w:val="18181B"/>
          <w:sz w:val="19"/>
        </w:rPr>
        <w:t>Regards, [Sender]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224" w:right="1224" w:bottom="1224" w:left="1224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b w:val="0"/>
        <w:color w:val="4B5563"/>
        <w:sz w:val="16"/>
      </w:rPr>
      <w:t>RFQ Email Template Pack  |  kwantflow.com/resources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rial" w:hAnsi="Arial"/>
        <w:b/>
        <w:color w:val="18181B"/>
        <w:sz w:val="16"/>
      </w:rPr>
      <w:t>KWANTFLOW  /  PRACTICAL ESTIMATING RESOURCE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Arial" w:hAnsi="Arial"/>
      <w:color w:val="18181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8181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7415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8181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rial" w:hAnsi="Arial"/>
      <w:color w:val="18181B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360"/>
    </w:pPr>
    <w:rPr>
      <w:rFonts w:asciiTheme="majorHAnsi" w:eastAsiaTheme="majorEastAsia" w:hAnsiTheme="majorHAnsi" w:cstheme="majorBidi" w:ascii="Arial" w:hAnsi="Arial"/>
      <w:i/>
      <w:iCs/>
      <w:color w:val="4B5563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